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 BODY PAINTER</w:t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Auto Body Painter is responsible for preparing and applying paint to vehicles following collision repairs. This role includes surface preparation, paint mixing, and ensuring high-quality finishes. The painter ensures that the final product meets both the company’s standards and customer expectations.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candidate is detail-oriented and skilled in using various painting tools and equipment.</w:t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0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right="4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2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vehicle surfaces by sanding, masking, and cleaning.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Mix and match paint to achieve the desired colour.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Apply primers, base coats, and clear coats using spray guns.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touch-ups and repairs as needed.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 flawless finish that meets the customer’s expectations.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 clean and safe work environment.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technicians to ensure timely project completion.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when supplies are low to the auto shop supervisor.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1C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attention to detail and precision.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follow technical instructions.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teamwork and communication skills.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 management and ability to meet deadlines.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Customer-service orientation.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Willingness to take in feedback and apply to work products.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453.543307086615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as an Auto Body Painter.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in automotive paint mixing and application.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spray equipment and safety procedures.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hand-eye coordination and/or previous experience painting assets.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44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hours are 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 per week and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are generally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time] to [insert time], [insert days, e.g., Monday to Thursday].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Shop environment with exposure to fumes, chemicals, and dust.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wearing PPE and standing for long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during busy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446"/>
        <w:rPr/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PrF8JLANUObSNHsuBVkEZcAiw==">CgMxLjA4AHIhMTFRaDM1dVIxb0ttUWVfd1RrZkVvSzQ4ZHlCX2J1SUFX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